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366" w:rsidRPr="006851F2" w:rsidRDefault="006851F2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C54206D" wp14:editId="626CBCDA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413410" w:rsidRPr="00BC5E67" w:rsidRDefault="002673C9" w:rsidP="00E96A64">
      <w:pPr>
        <w:pStyle w:val="text-justify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BC5E67">
        <w:rPr>
          <w:rFonts w:ascii="Arial" w:hAnsi="Arial" w:cs="Arial"/>
          <w:b/>
          <w:color w:val="000000" w:themeColor="text1"/>
          <w:u w:val="single"/>
        </w:rPr>
        <w:t>Korzystne zmiany dla emerytów i rencistów KRUS</w:t>
      </w:r>
    </w:p>
    <w:p w:rsidR="00413410" w:rsidRPr="00BC5E67" w:rsidRDefault="00413410" w:rsidP="006851F2">
      <w:pPr>
        <w:pStyle w:val="text-justify"/>
        <w:shd w:val="clear" w:color="auto" w:fill="FFFFFF"/>
        <w:spacing w:line="276" w:lineRule="auto"/>
        <w:rPr>
          <w:b/>
          <w:color w:val="000000" w:themeColor="text1"/>
          <w:sz w:val="22"/>
          <w:szCs w:val="22"/>
        </w:rPr>
      </w:pPr>
    </w:p>
    <w:p w:rsidR="005F7D5F" w:rsidRPr="00BC5E67" w:rsidRDefault="005F7D5F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Od 1 marca 2023 r. wchodzą w życie </w:t>
      </w:r>
      <w:r w:rsidR="00413410" w:rsidRPr="00BC5E67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zmiany </w:t>
      </w:r>
      <w:r w:rsidR="00AC0FC1" w:rsidRPr="00BC5E67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w Ustawie o ubezpieczeniu społecznym rolników </w:t>
      </w:r>
      <w:r w:rsidR="00413410" w:rsidRPr="00BC5E67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korzystne </w:t>
      </w:r>
      <w:r w:rsidRPr="00BC5E67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dla osób pobierających emeryturę lub rentę rolniczą z KRUS</w:t>
      </w:r>
      <w:r w:rsidR="002101A7" w:rsidRPr="00BC5E67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.</w:t>
      </w:r>
      <w:r w:rsidRPr="00BC5E67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</w:t>
      </w:r>
    </w:p>
    <w:p w:rsidR="00413410" w:rsidRPr="00BC5E67" w:rsidRDefault="00AC0FC1" w:rsidP="006851F2">
      <w:pPr>
        <w:shd w:val="clear" w:color="auto" w:fill="FFFFFF"/>
        <w:spacing w:after="240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W myśl znowelizowanych przepisów od nowego miesiąca emerytura podstawowa podwyższona zostanie do 90 % najniższej emerytury </w:t>
      </w:r>
      <w:r w:rsidR="00413410"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określonej w przepisach emerytalnych tj. do kwoty 1.429,60 zł (wzrost o 345,02 zł), co spowoduje znaczący wzrost wszystkich wypłacanych przez KRUS emerytur rolniczych, rent rolniczych z tytułu niezdolności do pracy </w:t>
      </w:r>
      <w:r w:rsidR="002101A7"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="00413410"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i rent rodzinnych.</w:t>
      </w:r>
    </w:p>
    <w:p w:rsidR="00413410" w:rsidRPr="00BC5E67" w:rsidRDefault="00413410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Wysokość rolniczych świadczeń emerytalno-rentowych ustala się i wypłaca w kwocie odpowiadającej iloczynowi aktualnej emerytury podstawowej i wskaźnika wymiaru, który jest obliczany indywidualnie dla każdego świadczeniobiorcy w oparciu o okresy pracy i opłacania składek na rolnicze ubezpieczenie emerytalno-rentowe. </w:t>
      </w:r>
      <w:r w:rsidR="00417254">
        <w:rPr>
          <w:rFonts w:ascii="Arial" w:hAnsi="Arial" w:cs="Arial"/>
          <w:color w:val="000000" w:themeColor="text1"/>
          <w:sz w:val="22"/>
          <w:shd w:val="clear" w:color="auto" w:fill="FFFFFF"/>
        </w:rPr>
        <w:t>I</w:t>
      </w:r>
      <w:r w:rsidR="00347F1E" w:rsidRPr="00BC5E67">
        <w:rPr>
          <w:rFonts w:ascii="Arial" w:hAnsi="Arial" w:cs="Arial"/>
          <w:color w:val="000000" w:themeColor="text1"/>
          <w:sz w:val="22"/>
          <w:shd w:val="clear" w:color="auto" w:fill="FFFFFF"/>
        </w:rPr>
        <w:t>m wyższa jest kwota emerytury podstawowej i dłuższy okres opłacania składek na ubezpieczenie społeczne - tym wyższa będzie kwota rolniczego świadczenia emerytalno-rentowego.</w:t>
      </w:r>
    </w:p>
    <w:p w:rsidR="00413410" w:rsidRPr="00BC5E67" w:rsidRDefault="002101A7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i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Zachęcamy do zapoznania się szczegółowo z zasadami ustalania wysokości emerytur i rent rolniczych na stronie </w:t>
      </w:r>
      <w:hyperlink r:id="rId9" w:history="1">
        <w:r w:rsidRPr="00BC5E67">
          <w:rPr>
            <w:rStyle w:val="Hipercze"/>
            <w:rFonts w:ascii="Arial" w:eastAsia="Times New Roman" w:hAnsi="Arial" w:cs="Arial"/>
            <w:color w:val="000000" w:themeColor="text1"/>
            <w:sz w:val="22"/>
            <w:lang w:eastAsia="pl-PL"/>
          </w:rPr>
          <w:t>www.krus.gov.pl</w:t>
        </w:r>
      </w:hyperlink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 </w:t>
      </w:r>
      <w:r w:rsidR="00413410"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w zakładce:  </w:t>
      </w:r>
      <w:hyperlink r:id="rId10" w:history="1">
        <w:r w:rsidRPr="00BC5E67">
          <w:rPr>
            <w:rFonts w:ascii="Arial" w:eastAsia="Times New Roman" w:hAnsi="Arial" w:cs="Arial"/>
            <w:i/>
            <w:color w:val="000000" w:themeColor="text1"/>
            <w:sz w:val="22"/>
            <w:u w:val="single"/>
            <w:lang w:eastAsia="pl-PL"/>
          </w:rPr>
          <w:t>Świadczenia</w:t>
        </w:r>
        <w:r w:rsidR="00413410" w:rsidRPr="00BC5E67">
          <w:rPr>
            <w:rFonts w:ascii="Arial" w:eastAsia="Times New Roman" w:hAnsi="Arial" w:cs="Arial"/>
            <w:i/>
            <w:color w:val="000000" w:themeColor="text1"/>
            <w:sz w:val="22"/>
            <w:u w:val="single"/>
            <w:lang w:eastAsia="pl-PL"/>
          </w:rPr>
          <w:t>/Świadczenia z ubezpieczenia emerytalno-rentowego/Ustalanie wysokości emerytury rolniczej lub renty rolniczej</w:t>
        </w:r>
      </w:hyperlink>
      <w:r w:rsidR="00413410" w:rsidRPr="00BC5E67">
        <w:rPr>
          <w:rFonts w:ascii="Arial" w:eastAsia="Times New Roman" w:hAnsi="Arial" w:cs="Arial"/>
          <w:i/>
          <w:color w:val="000000" w:themeColor="text1"/>
          <w:sz w:val="22"/>
          <w:lang w:eastAsia="pl-PL"/>
        </w:rPr>
        <w:t>. </w:t>
      </w:r>
    </w:p>
    <w:p w:rsidR="00052393" w:rsidRPr="00BC5E67" w:rsidRDefault="006851F2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Ponadto, informujemy, że został wprowadzony nowy dodatek dla osób pobierających emeryturę z KRUS, które opłacały podwójne lub dodatkowe składki na rolnicze ubezpieczenie emerytalno-rentowe.</w:t>
      </w:r>
    </w:p>
    <w:p w:rsidR="00413410" w:rsidRPr="00BC5E67" w:rsidRDefault="00413410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Dodatkowe składki obowiązkowo opłacają rolnicy prowadzący działalność rolniczą w  gospodarstwie rolnym o powierzchni powyżej 50 hektarów przeliczeniowych, </w:t>
      </w:r>
      <w:r w:rsidR="006851F2"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a składki w wysokości dwukrotnej składki podstawowej (na wniosek) mogą opłacać rolnicy, którzy poza działalnością rolniczą dodatkowo prowadzą pozarolniczą działalność gospodarczą. </w:t>
      </w:r>
    </w:p>
    <w:p w:rsidR="00413410" w:rsidRPr="00BC5E67" w:rsidRDefault="00413410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Wysokość dodatku będzie wynosiła 0,5% emerytury podstawowej za każdy pełny rok opłacania dodatkowych lub podwójnych składek. Na przykład emeryt, który opłacał takie składki przez 10 lat otrzyma dodatek w wysokości 71,48 zł brutto miesięcznie. </w:t>
      </w:r>
    </w:p>
    <w:p w:rsidR="00413410" w:rsidRPr="00BC5E67" w:rsidRDefault="00413410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Kwota dodatku będzie podwyższana wraz z waloryzacją emerytury podstawowej.</w:t>
      </w:r>
    </w:p>
    <w:p w:rsidR="00413410" w:rsidRPr="00BC5E67" w:rsidRDefault="00413410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Prawo do dodatku dla osób, którym przyznano emerytury rolnicze przed 1 marca 2023 r., KRUS przyzna z urzędu, podejmie jego wypłatę w terminie nieprzekraczającym 6 miesięcy od dnia wejścia w życie ustawy oraz wypłaci wyrównanie od 1 marca 2023 r. Oznacza to, </w:t>
      </w:r>
      <w:r w:rsidR="006851F2"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że emeryci nie muszą składać wniosku o to świadczenie. </w:t>
      </w:r>
    </w:p>
    <w:p w:rsidR="00AF4631" w:rsidRPr="00BC5E67" w:rsidRDefault="00413410" w:rsidP="006851F2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C5E67">
        <w:rPr>
          <w:rFonts w:ascii="Arial" w:eastAsia="Times New Roman" w:hAnsi="Arial" w:cs="Arial"/>
          <w:color w:val="000000" w:themeColor="text1"/>
          <w:sz w:val="22"/>
          <w:lang w:eastAsia="pl-PL"/>
        </w:rPr>
        <w:t>W przypadku osób występujących po raz pierwszy z wnioskiem o emeryturę rolniczą, które kiedykolwiek opłacały składkę podwójną lub dodatkową, uprawnienia do dodatku zostaną rozpatrzone na podstawie tego wniosku – bez konieczności występowania z odrębnym wnioskiem. </w:t>
      </w:r>
    </w:p>
    <w:sectPr w:rsidR="00AF4631" w:rsidRPr="00BC5E67" w:rsidSect="00BC5E67">
      <w:headerReference w:type="default" r:id="rId11"/>
      <w:footerReference w:type="default" r:id="rId12"/>
      <w:pgSz w:w="11906" w:h="16838"/>
      <w:pgMar w:top="1069" w:right="1417" w:bottom="0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02D" w:rsidRDefault="00D0702D" w:rsidP="004A436D">
      <w:pPr>
        <w:spacing w:after="0" w:line="240" w:lineRule="auto"/>
      </w:pPr>
      <w:r>
        <w:separator/>
      </w:r>
    </w:p>
  </w:endnote>
  <w:endnote w:type="continuationSeparator" w:id="0">
    <w:p w:rsidR="00D0702D" w:rsidRDefault="00D0702D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02D" w:rsidRDefault="00D0702D" w:rsidP="004A436D">
      <w:pPr>
        <w:spacing w:after="0" w:line="240" w:lineRule="auto"/>
      </w:pPr>
      <w:r>
        <w:separator/>
      </w:r>
    </w:p>
  </w:footnote>
  <w:footnote w:type="continuationSeparator" w:id="0">
    <w:p w:rsidR="00D0702D" w:rsidRDefault="00D0702D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413410">
      <w:rPr>
        <w:i/>
      </w:rPr>
      <w:t>23</w:t>
    </w:r>
    <w:r w:rsidR="00892A1E">
      <w:rPr>
        <w:i/>
      </w:rPr>
      <w:t xml:space="preserve"> lutego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23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064444">
    <w:abstractNumId w:val="11"/>
  </w:num>
  <w:num w:numId="2" w16cid:durableId="652293037">
    <w:abstractNumId w:val="0"/>
  </w:num>
  <w:num w:numId="3" w16cid:durableId="1341195527">
    <w:abstractNumId w:val="9"/>
  </w:num>
  <w:num w:numId="4" w16cid:durableId="1080951062">
    <w:abstractNumId w:val="3"/>
  </w:num>
  <w:num w:numId="5" w16cid:durableId="1308170757">
    <w:abstractNumId w:val="7"/>
  </w:num>
  <w:num w:numId="6" w16cid:durableId="1313291835">
    <w:abstractNumId w:val="1"/>
  </w:num>
  <w:num w:numId="7" w16cid:durableId="942297970">
    <w:abstractNumId w:val="2"/>
  </w:num>
  <w:num w:numId="8" w16cid:durableId="139420689">
    <w:abstractNumId w:val="5"/>
  </w:num>
  <w:num w:numId="9" w16cid:durableId="1073627916">
    <w:abstractNumId w:val="4"/>
  </w:num>
  <w:num w:numId="10" w16cid:durableId="851918490">
    <w:abstractNumId w:val="6"/>
  </w:num>
  <w:num w:numId="11" w16cid:durableId="97722283">
    <w:abstractNumId w:val="8"/>
  </w:num>
  <w:num w:numId="12" w16cid:durableId="513425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52393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1E5EB5"/>
    <w:rsid w:val="001E7CF1"/>
    <w:rsid w:val="001F5023"/>
    <w:rsid w:val="00203AA2"/>
    <w:rsid w:val="002101A7"/>
    <w:rsid w:val="00217B5F"/>
    <w:rsid w:val="00217D76"/>
    <w:rsid w:val="00222FA5"/>
    <w:rsid w:val="00231AF5"/>
    <w:rsid w:val="0025204A"/>
    <w:rsid w:val="002618CE"/>
    <w:rsid w:val="00265FDB"/>
    <w:rsid w:val="002673C9"/>
    <w:rsid w:val="00272619"/>
    <w:rsid w:val="00283621"/>
    <w:rsid w:val="00286DA9"/>
    <w:rsid w:val="002A374C"/>
    <w:rsid w:val="002C7E59"/>
    <w:rsid w:val="002D36FE"/>
    <w:rsid w:val="002E6F7A"/>
    <w:rsid w:val="00334CBD"/>
    <w:rsid w:val="003430B8"/>
    <w:rsid w:val="00347F1E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3410"/>
    <w:rsid w:val="00417254"/>
    <w:rsid w:val="00417D6F"/>
    <w:rsid w:val="00424CDE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5F7D5F"/>
    <w:rsid w:val="00602E23"/>
    <w:rsid w:val="006101C6"/>
    <w:rsid w:val="006358E8"/>
    <w:rsid w:val="00637DFF"/>
    <w:rsid w:val="00645C53"/>
    <w:rsid w:val="00657D17"/>
    <w:rsid w:val="00681F8A"/>
    <w:rsid w:val="006851F2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91DAA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C0FC1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A2760"/>
    <w:rsid w:val="00BB1C5A"/>
    <w:rsid w:val="00BC5E67"/>
    <w:rsid w:val="00BC667E"/>
    <w:rsid w:val="00BC6C0B"/>
    <w:rsid w:val="00BE156B"/>
    <w:rsid w:val="00BE15FD"/>
    <w:rsid w:val="00BF0558"/>
    <w:rsid w:val="00C1178A"/>
    <w:rsid w:val="00C26960"/>
    <w:rsid w:val="00C30AB6"/>
    <w:rsid w:val="00C42915"/>
    <w:rsid w:val="00C440CF"/>
    <w:rsid w:val="00C47CE4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0702D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B6595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1253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rus.gov.pl/zadania-krus/swiadczenia/swiadczenia-z-ubezpieczenia-emerytalno-rentowego/ustalanie-wysokosci-emerytury-rolniczej-lub-renty-rolnicz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2E85-61DF-46A3-A55F-4A5C8034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Aleksandra Gawlas</cp:lastModifiedBy>
  <cp:revision>2</cp:revision>
  <cp:lastPrinted>2023-02-23T10:38:00Z</cp:lastPrinted>
  <dcterms:created xsi:type="dcterms:W3CDTF">2023-02-24T08:03:00Z</dcterms:created>
  <dcterms:modified xsi:type="dcterms:W3CDTF">2023-02-24T08:03:00Z</dcterms:modified>
</cp:coreProperties>
</file>