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4A2B10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DM/KT/542-2/20</w:t>
      </w:r>
      <w:r w:rsidR="001C183B">
        <w:rPr>
          <w:sz w:val="24"/>
          <w:szCs w:val="24"/>
        </w:rPr>
        <w:t>/19/NG</w:t>
      </w:r>
      <w:r w:rsidR="00BA46D9">
        <w:rPr>
          <w:sz w:val="24"/>
          <w:szCs w:val="24"/>
        </w:rPr>
        <w:t xml:space="preserve">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898"/>
        <w:gridCol w:w="3770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52184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7F57AF" w:rsidP="00DF724C">
            <w:r>
              <w:t>23</w:t>
            </w:r>
            <w:r w:rsidR="001C183B">
              <w:t>.10.2019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7B04E7" w:rsidP="0041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Dąbrowa Górnicza, </w:t>
            </w:r>
            <w:r w:rsidR="00416E5A">
              <w:rPr>
                <w:sz w:val="24"/>
                <w:szCs w:val="24"/>
              </w:rPr>
              <w:t xml:space="preserve">powiat będziński, Sosnowiec, Jaworzno, Mysłowice, Katowice, </w:t>
            </w:r>
            <w:r w:rsidR="00E16ADC">
              <w:rPr>
                <w:sz w:val="24"/>
                <w:szCs w:val="24"/>
              </w:rPr>
              <w:t xml:space="preserve">Siemianowice, Chorzów, </w:t>
            </w:r>
            <w:r w:rsidR="00416E5A">
              <w:rPr>
                <w:sz w:val="24"/>
                <w:szCs w:val="24"/>
              </w:rPr>
              <w:t>powiat bieruńsko-lędziński, Tychy, powiat mikołowski, Rybnik, Żory, Jastrzębie-Zdrój, powiat rybnicki, powiat pszczyński, powiat raciborski, wodzisławski, powiat cieszyński, powiat bielski, Bielsko-Biała, powiat żywiecki.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4B37" w:rsidRDefault="00264B37" w:rsidP="00D447D5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FA53F3">
              <w:rPr>
                <w:b/>
                <w:sz w:val="24"/>
                <w:szCs w:val="24"/>
              </w:rPr>
              <w:t>23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Pr="00911172">
              <w:rPr>
                <w:b/>
                <w:sz w:val="24"/>
                <w:szCs w:val="24"/>
              </w:rPr>
              <w:t xml:space="preserve"> r. jakość powietrza </w:t>
            </w:r>
            <w:r w:rsidR="00D447D5">
              <w:rPr>
                <w:b/>
                <w:sz w:val="24"/>
                <w:szCs w:val="24"/>
              </w:rPr>
              <w:t xml:space="preserve">na obszarze województwa śląskiego </w:t>
            </w:r>
            <w:r w:rsidR="00FA53F3">
              <w:rPr>
                <w:b/>
                <w:sz w:val="24"/>
                <w:szCs w:val="24"/>
              </w:rPr>
              <w:t xml:space="preserve">ze względu na poziom pyłu zawieszonego (stężenia dobowe) </w:t>
            </w:r>
            <w:r w:rsidRPr="00911172">
              <w:rPr>
                <w:b/>
                <w:sz w:val="24"/>
                <w:szCs w:val="24"/>
              </w:rPr>
              <w:t>będzie</w:t>
            </w:r>
            <w:r w:rsidR="00D447D5" w:rsidRPr="0034132E">
              <w:rPr>
                <w:b/>
                <w:color w:val="FFC000"/>
                <w:sz w:val="24"/>
                <w:szCs w:val="24"/>
              </w:rPr>
              <w:t xml:space="preserve"> dostateczna</w:t>
            </w:r>
            <w:r w:rsidR="00D447D5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D447D5" w:rsidRPr="00D447D5">
              <w:rPr>
                <w:b/>
                <w:sz w:val="24"/>
                <w:szCs w:val="24"/>
              </w:rPr>
              <w:t>i</w:t>
            </w:r>
            <w:r w:rsidR="00D447D5">
              <w:rPr>
                <w:b/>
                <w:sz w:val="24"/>
                <w:szCs w:val="24"/>
              </w:rPr>
              <w:t xml:space="preserve"> </w:t>
            </w:r>
            <w:r w:rsidR="00D447D5" w:rsidRPr="00D447D5">
              <w:rPr>
                <w:b/>
                <w:color w:val="FF0000"/>
                <w:sz w:val="24"/>
                <w:szCs w:val="24"/>
              </w:rPr>
              <w:t>zła</w:t>
            </w:r>
            <w:r w:rsidR="00D447D5" w:rsidRPr="00D447D5">
              <w:rPr>
                <w:b/>
                <w:sz w:val="24"/>
                <w:szCs w:val="24"/>
              </w:rPr>
              <w:t>.</w:t>
            </w:r>
            <w:r w:rsidRPr="00911172">
              <w:rPr>
                <w:sz w:val="24"/>
                <w:szCs w:val="24"/>
              </w:rPr>
              <w:t xml:space="preserve"> 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352184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</w:t>
            </w:r>
            <w:r w:rsidR="00C80C79" w:rsidRPr="00C80C79">
              <w:rPr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="00C80C79"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B66A76" w:rsidRDefault="009F6FEB" w:rsidP="00B66A76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 xml:space="preserve">intensywne kontrole instalacji spalania paliw stałych pod kątem </w:t>
            </w:r>
            <w:r w:rsidR="00B66A76" w:rsidRPr="009F6FEB">
              <w:rPr>
                <w:sz w:val="24"/>
                <w:szCs w:val="24"/>
              </w:rPr>
              <w:t>realizac</w:t>
            </w:r>
            <w:r w:rsidR="00B66A76"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 w:rsidR="00B66A76">
              <w:rPr>
                <w:sz w:val="24"/>
                <w:szCs w:val="24"/>
              </w:rPr>
              <w:t>ej ilości wskazanej w PDK),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DD3FFE" w:rsidRPr="00B66A76" w:rsidRDefault="008F5F67" w:rsidP="00B66A76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</w:t>
            </w:r>
            <w:r w:rsidR="00B66A76">
              <w:rPr>
                <w:sz w:val="24"/>
                <w:szCs w:val="24"/>
              </w:rPr>
              <w:t>czenia stosowania kominków.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7F57A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.10.2019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Default="009151EB" w:rsidP="00751D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751DEB" w:rsidRPr="00751DEB" w:rsidRDefault="00751DEB" w:rsidP="00751DEB">
      <w:pPr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2368D"/>
    <w:rsid w:val="00035438"/>
    <w:rsid w:val="00036FC1"/>
    <w:rsid w:val="00056B2A"/>
    <w:rsid w:val="00072EE4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41B9A"/>
    <w:rsid w:val="0014481F"/>
    <w:rsid w:val="001B3ADA"/>
    <w:rsid w:val="001B5FBB"/>
    <w:rsid w:val="001C183B"/>
    <w:rsid w:val="001C2E28"/>
    <w:rsid w:val="001F6E0D"/>
    <w:rsid w:val="00223B50"/>
    <w:rsid w:val="00244153"/>
    <w:rsid w:val="00264B37"/>
    <w:rsid w:val="00275E2B"/>
    <w:rsid w:val="0028645E"/>
    <w:rsid w:val="002A0213"/>
    <w:rsid w:val="002C5812"/>
    <w:rsid w:val="002D2E22"/>
    <w:rsid w:val="003158E0"/>
    <w:rsid w:val="00321151"/>
    <w:rsid w:val="00346FE7"/>
    <w:rsid w:val="00352184"/>
    <w:rsid w:val="00374909"/>
    <w:rsid w:val="003E4C60"/>
    <w:rsid w:val="003F4944"/>
    <w:rsid w:val="00402FF4"/>
    <w:rsid w:val="00416E5A"/>
    <w:rsid w:val="00420FBB"/>
    <w:rsid w:val="004501B6"/>
    <w:rsid w:val="00464123"/>
    <w:rsid w:val="00496FAA"/>
    <w:rsid w:val="004A2B10"/>
    <w:rsid w:val="004A4DBC"/>
    <w:rsid w:val="004E3D89"/>
    <w:rsid w:val="00500DBE"/>
    <w:rsid w:val="00517E40"/>
    <w:rsid w:val="00533AB2"/>
    <w:rsid w:val="0055681E"/>
    <w:rsid w:val="0056405F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6F88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72EEF"/>
    <w:rsid w:val="00AA5FAD"/>
    <w:rsid w:val="00AC5FB0"/>
    <w:rsid w:val="00B07A40"/>
    <w:rsid w:val="00B2137D"/>
    <w:rsid w:val="00B37E56"/>
    <w:rsid w:val="00B46DE2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CD19A8"/>
    <w:rsid w:val="00D05864"/>
    <w:rsid w:val="00D10419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6ADC"/>
    <w:rsid w:val="00E367B6"/>
    <w:rsid w:val="00E5074C"/>
    <w:rsid w:val="00E531A6"/>
    <w:rsid w:val="00E57035"/>
    <w:rsid w:val="00E73FBC"/>
    <w:rsid w:val="00F00D6B"/>
    <w:rsid w:val="00F339C0"/>
    <w:rsid w:val="00F34D69"/>
    <w:rsid w:val="00F36A36"/>
    <w:rsid w:val="00F7634E"/>
    <w:rsid w:val="00FA53F3"/>
    <w:rsid w:val="00FB7CE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2019-10-23T09:23:00Z</cp:lastPrinted>
  <dcterms:created xsi:type="dcterms:W3CDTF">2019-10-23T11:05:00Z</dcterms:created>
  <dcterms:modified xsi:type="dcterms:W3CDTF">2019-10-23T11:05:00Z</dcterms:modified>
</cp:coreProperties>
</file>